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lockText"/>
        <w:jc w:val="center"/>
        <w:rPr>
          <w:b/>
        </w:rPr>
      </w:pPr>
      <w:r>
        <w:rPr>
          <w:b/>
        </w:rPr>
        <w:t>Asociácia informačných centier Slovenska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2574925</wp:posOffset>
            </wp:positionH>
            <wp:positionV relativeFrom="paragraph">
              <wp:posOffset>296545</wp:posOffset>
            </wp:positionV>
            <wp:extent cx="693420" cy="731520"/>
            <wp:effectExtent l="0" t="0" r="0" b="0"/>
            <wp:wrapTopAndBottom/>
            <wp:docPr id="0" name="Picture" descr="aiceslogo 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iceslogo s 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26" w:leader="none"/>
        </w:tabs>
        <w:ind w:left="426" w:right="432" w:hanging="0"/>
        <w:jc w:val="center"/>
        <w:rPr>
          <w:b/>
          <w:spacing w:val="-2"/>
        </w:rPr>
      </w:pPr>
      <w:r>
        <w:rPr>
          <w:b/>
          <w:spacing w:val="-2"/>
        </w:rPr>
        <w:t>Námestie mieru 1, 031 01 Liptovský Mikuláš</w:t>
      </w:r>
    </w:p>
    <w:p>
      <w:pPr>
        <w:pStyle w:val="Normal"/>
        <w:tabs>
          <w:tab w:val="left" w:pos="426" w:leader="none"/>
        </w:tabs>
        <w:ind w:left="426" w:right="432" w:hanging="0"/>
        <w:jc w:val="center"/>
        <w:rPr/>
      </w:pPr>
      <w:r>
        <w:rPr>
          <w:spacing w:val="-2"/>
        </w:rPr>
        <w:t>_____________________________________________________________________</w:t>
      </w:r>
      <w:r>
        <w:rPr/>
        <w:t xml:space="preserve">       </w:t>
      </w:r>
    </w:p>
    <w:p>
      <w:pPr>
        <w:pStyle w:val="Normal"/>
        <w:jc w:val="right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right"/>
        <w:rPr>
          <w:rFonts w:cs="Tahoma"/>
          <w:szCs w:val="22"/>
        </w:rPr>
      </w:pPr>
      <w:r>
        <w:rPr>
          <w:rFonts w:cs="Tahoma"/>
          <w:szCs w:val="22"/>
        </w:rPr>
        <w:t>V Liptovskom Mikuláši dňa 12. apríla 2019</w:t>
      </w:r>
    </w:p>
    <w:p>
      <w:pPr>
        <w:pStyle w:val="Normal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Vážení vedúci pracovníci turistických informačných centier,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AiCES v spolupráci s redakciou </w:t>
      </w:r>
      <w:r>
        <w:rPr>
          <w:rFonts w:cs="Tahoma"/>
          <w:b/>
          <w:szCs w:val="22"/>
        </w:rPr>
        <w:t>KAM po Česku</w:t>
      </w:r>
      <w:r>
        <w:rPr>
          <w:rFonts w:cs="Tahoma"/>
          <w:szCs w:val="22"/>
        </w:rPr>
        <w:t xml:space="preserve">  pripravuje I. ročník prestížnej internetovej ankety o najpopulárnejšie TIC Slovenska. Anketa sa uskutoční v dobe od 20. 6. do 31. 8. 2019 na </w:t>
      </w:r>
      <w:hyperlink r:id="rId3">
        <w:r>
          <w:rPr>
            <w:rStyle w:val="Internetovodkaz"/>
            <w:rFonts w:cs="Tahoma"/>
            <w:szCs w:val="22"/>
          </w:rPr>
          <w:t>www.kamposlovensku.sk</w:t>
        </w:r>
      </w:hyperlink>
      <w:r>
        <w:rPr>
          <w:rFonts w:cs="Tahoma"/>
          <w:szCs w:val="22"/>
        </w:rPr>
        <w:t xml:space="preserve"> a ponúkne širokej laickej i odbornej verejnosti možnosť preferovať „svoje“ TIC v danom kraji, a nasledovne tak i v celej Slovenskej republike. </w:t>
      </w:r>
    </w:p>
    <w:p>
      <w:pPr>
        <w:pStyle w:val="Normal"/>
        <w:rPr>
          <w:rFonts w:cs="Tahoma"/>
          <w:szCs w:val="22"/>
        </w:rPr>
      </w:pPr>
      <w:r>
        <w:rPr>
          <w:rFonts w:cs="Tahoma"/>
          <w:szCs w:val="22"/>
        </w:rPr>
        <w:t>Anketa Vám dáva tiež jedinečnú možnosť predstaviť svoje TIC a jeho ponuku na portáli s vysokou dennou návštevnosťou.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Každé informačné centrum bude mať na uvedenom portáli svoju vlastnú profilovú kartu, ktorá bude obsahovať: </w:t>
      </w:r>
    </w:p>
    <w:p>
      <w:pPr>
        <w:pStyle w:val="Normal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1. sekciu základných informácií o TIC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- názov, adresa, kontakty atď.         </w:t>
      </w:r>
    </w:p>
    <w:p>
      <w:pPr>
        <w:pStyle w:val="Normal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2. galériu získaných certifikátov a ocenení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- profesijný certifikát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3. galéria fotiek</w:t>
      </w:r>
      <w:r>
        <w:rPr>
          <w:rFonts w:cs="Tahoma"/>
          <w:szCs w:val="22"/>
        </w:rPr>
        <w:t xml:space="preserve"> (interiér a exteriér TIC + foto mesta) 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1x interiér TIC – na šírku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1x exteriér TIC – na šírku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1x výhľad na mesto (námestie, panoráma) – na šířku </w:t>
      </w:r>
    </w:p>
    <w:p>
      <w:pPr>
        <w:pStyle w:val="Normal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4. galéria propagačných materiálov TIC 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- skladačky, DL, brožúry, sprievodcovia, hry, pexesa, hracie karty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- mapy, pohľadnice, kalendáriky, leporela, turistické vizitky apod.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 xml:space="preserve">- zľavové karty návštevníka, virtuálne prehliadky, mestské noviny apod.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Aby bola karta Vášho TIC kompletná ešte pred spustením ankety, chceme Vás požiadať o :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- doplnenie chýbajúcich údajov v krátkom formulári (v prílohe),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- zaslanie naskenovaných certifikátov a ocenení,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- zaslanie troch fotografií,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- zaslanie aktuálnych TOP propagačných materiálov,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a to všetko e-mailom</w:t>
      </w:r>
      <w:r>
        <w:rPr>
          <w:rFonts w:cs="Tahoma"/>
          <w:b/>
          <w:szCs w:val="22"/>
        </w:rPr>
        <w:t xml:space="preserve"> do 26. 4. 2019</w:t>
      </w:r>
      <w:r>
        <w:rPr>
          <w:rFonts w:cs="Tahoma"/>
          <w:szCs w:val="22"/>
        </w:rPr>
        <w:t xml:space="preserve"> na adresu info@infoslovak.sk </w:t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even" r:id="rId7"/>
          <w:footerReference w:type="default" r:id="rId8"/>
          <w:footerReference w:type="first" r:id="rId9"/>
          <w:type w:val="nextPage"/>
          <w:pgSz w:w="12240" w:h="15840"/>
          <w:pgMar w:left="1440" w:right="1440" w:header="720" w:top="1440" w:footer="720" w:bottom="777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Po zverejnení kariet IS na </w:t>
      </w:r>
      <w:hyperlink r:id="rId10">
        <w:r>
          <w:rPr>
            <w:rStyle w:val="Internetovodkaz"/>
            <w:rFonts w:cs="Tahoma"/>
            <w:szCs w:val="22"/>
          </w:rPr>
          <w:t>www.kamposlovensku.sk</w:t>
        </w:r>
      </w:hyperlink>
      <w:r>
        <w:rPr>
          <w:rFonts w:cs="Tahoma"/>
          <w:szCs w:val="22"/>
        </w:rPr>
        <w:t xml:space="preserve"> budete mať možnosť korektúr do 15. 6. 2019 a v rámci nich potom vložiť do kariet ďalšie propagačné materiály TIC (viď. bod 4. vyššie).  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Vopred ďakujeme za spoluprácu.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Za AiCES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Jana Piatková</w:t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koordinátor súťaže</w:t>
      </w:r>
    </w:p>
    <w:p>
      <w:pPr>
        <w:pStyle w:val="Normal"/>
        <w:jc w:val="both"/>
        <w:rPr>
          <w:rFonts w:cs="Tahoma"/>
          <w:szCs w:val="22"/>
        </w:rPr>
      </w:pPr>
      <w:bookmarkStart w:id="4" w:name="_GoBack"/>
      <w:bookmarkStart w:id="5" w:name="_GoBack"/>
      <w:bookmarkEnd w:id="5"/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both"/>
        <w:rPr>
          <w:rFonts w:cs="Tahoma"/>
          <w:szCs w:val="22"/>
        </w:rPr>
      </w:pPr>
      <w:r>
        <w:rPr>
          <w:rFonts w:cs="Tahoma"/>
          <w:szCs w:val="22"/>
        </w:rPr>
        <w:t>Záštitu nad Anketou popularity prevzalo Ministerstvo dopravy a výstavby Slovenskej republiky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3091815" cy="1209675"/>
            <wp:effectExtent l="0" t="0" r="0" b="0"/>
            <wp:docPr id="1" name="Picture" descr="G:\AICES\logá AiCES\Ministerstvo dopravy a vystavby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:\AICES\logá AiCES\Ministerstvo dopravy a vystavby S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eastAsia="sk-SK"/>
        </w:rPr>
      </w:pPr>
      <w:r>
        <w:rPr>
          <w:lang w:eastAsia="sk-SK"/>
        </w:rPr>
      </w:r>
    </w:p>
    <w:p>
      <w:pPr>
        <w:pStyle w:val="Normal"/>
        <w:jc w:val="both"/>
        <w:rPr>
          <w:lang w:eastAsia="sk-SK"/>
        </w:rPr>
      </w:pPr>
      <w:r>
        <w:rPr>
          <w:lang w:eastAsia="sk-SK"/>
        </w:rPr>
        <w:t>Partneri AiCES:</w:t>
      </w:r>
    </w:p>
    <w:p>
      <w:pPr>
        <w:pStyle w:val="Normal"/>
        <w:jc w:val="both"/>
        <w:rPr>
          <w:lang w:eastAsia="sk-SK"/>
        </w:rPr>
      </w:pPr>
      <w:r>
        <w:rPr>
          <w:lang w:eastAsia="sk-SK"/>
        </w:rPr>
      </w:r>
    </w:p>
    <w:p>
      <w:pPr>
        <w:pStyle w:val="Normal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     </w:t>
      </w:r>
      <w:r>
        <w:rPr>
          <w:rFonts w:cs="Tahoma"/>
          <w:sz w:val="20"/>
        </w:rPr>
        <w:drawing>
          <wp:inline distT="0" distB="0" distL="0" distR="0">
            <wp:extent cx="762000" cy="762000"/>
            <wp:effectExtent l="0" t="0" r="0" b="0"/>
            <wp:docPr id="2" name="Picture" descr="VÃ½sledok vyhÄ¾adÃ¡vania obrÃ¡zkov pre dopyt kam po Äes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VÃ½sledok vyhÄ¾adÃ¡vania obrÃ¡zkov pre dopyt kam po Äesku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</w:rPr>
        <w:t xml:space="preserve">        </w:t>
      </w:r>
      <w:r>
        <w:rPr>
          <w:rFonts w:cs="Tahoma"/>
          <w:sz w:val="20"/>
        </w:rPr>
        <w:drawing>
          <wp:inline distT="0" distB="0" distL="0" distR="0">
            <wp:extent cx="1469390" cy="342900"/>
            <wp:effectExtent l="0" t="0" r="0" b="0"/>
            <wp:docPr id="3" name="Picture" descr="2. The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2. The Brick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</w:rPr>
        <w:t xml:space="preserve">      </w:t>
      </w:r>
      <w:r>
        <w:rPr>
          <w:rFonts w:cs="Tahoma"/>
          <w:sz w:val="20"/>
        </w:rPr>
        <w:drawing>
          <wp:inline distT="0" distB="0" distL="0" distR="0">
            <wp:extent cx="1316355" cy="485775"/>
            <wp:effectExtent l="0" t="0" r="0" b="0"/>
            <wp:docPr id="4" name="Picture" descr="NÃ¡rodnÃ¡ diaÄ¾niÄnÃ¡ spoloÄnosÅ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NÃ¡rodnÃ¡ diaÄ¾niÄnÃ¡ spoloÄnosÅ¥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sectPr>
      <w:headerReference w:type="even" r:id="rId15"/>
      <w:headerReference w:type="default" r:id="rId16"/>
      <w:headerReference w:type="first" r:id="rId17"/>
      <w:footerReference w:type="even" r:id="rId18"/>
      <w:footerReference w:type="default" r:id="rId19"/>
      <w:footerReference w:type="first" r:id="rId20"/>
      <w:type w:val="nextPage"/>
      <w:pgSz w:w="12240" w:h="15840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bookmarkStart w:id="0" w:name="DocumentMarkings1FooterFirstPage"/>
    <w:bookmarkStart w:id="1" w:name="DocumentMarkings1FooterFirstPage"/>
    <w:bookmarkEnd w:id="1"/>
    <w:r>
      <w:rPr/>
    </w:r>
  </w:p>
  <w:p>
    <w:pPr>
      <w:pStyle w:val="Pta"/>
      <w:rPr/>
    </w:pPr>
    <w:bookmarkStart w:id="2" w:name="DocumentMarkings1FooterFirstPage"/>
    <w:bookmarkStart w:id="3" w:name="DocumentMarkings1FooterFirstPage"/>
    <w:bookmarkEnd w:id="3"/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r>
      <w:rPr/>
    </w:r>
  </w:p>
  <w:p>
    <w:pPr>
      <w:pStyle w:val="Pt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bookmarkStart w:id="6" w:name="DocumentMarkings1FooterEvenPages"/>
    <w:bookmarkStart w:id="7" w:name="DocumentMarkings1FooterEvenPages"/>
    <w:bookmarkEnd w:id="7"/>
    <w:r>
      <w:rPr/>
    </w:r>
  </w:p>
  <w:p>
    <w:pPr>
      <w:pStyle w:val="Pta"/>
      <w:rPr/>
    </w:pPr>
    <w:bookmarkStart w:id="8" w:name="DocumentMarkings1FooterEvenPages"/>
    <w:bookmarkStart w:id="9" w:name="DocumentMarkings1FooterEvenPages"/>
    <w:bookmarkEnd w:id="9"/>
    <w:r>
      <w:rPr/>
    </w:r>
  </w:p>
  <w:p>
    <w:pPr>
      <w:pStyle w:val="Pt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bookmarkStart w:id="10" w:name="DocumentMarkings1FooterPrimary"/>
    <w:bookmarkStart w:id="11" w:name="DocumentMarkings1FooterPrimary"/>
    <w:bookmarkEnd w:id="11"/>
    <w:r>
      <w:rPr/>
    </w:r>
  </w:p>
  <w:p>
    <w:pPr>
      <w:pStyle w:val="Pta"/>
      <w:rPr/>
    </w:pPr>
    <w:bookmarkStart w:id="12" w:name="DocumentMarkings1FooterPrimary"/>
    <w:bookmarkStart w:id="13" w:name="DocumentMarkings1FooterPrimary"/>
    <w:bookmarkEnd w:id="13"/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r>
      <w:rPr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</w:r>
  </w:p>
  <w:p>
    <w:pPr>
      <w:pStyle w:val="Hlavi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</w:r>
  </w:p>
  <w:p>
    <w:pPr>
      <w:pStyle w:val="Hlavi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evenAndOddHeaders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uiPriority="0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e25a5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auto"/>
      <w:sz w:val="22"/>
      <w:szCs w:val="20"/>
      <w:lang w:val="sk-SK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lavikaChar" w:customStyle="1">
    <w:name w:val="Hlavička Char"/>
    <w:uiPriority w:val="99"/>
    <w:link w:val="Hlavika"/>
    <w:rsid w:val="002e25a5"/>
    <w:basedOn w:val="DefaultParagraphFont"/>
    <w:rPr/>
  </w:style>
  <w:style w:type="character" w:styleId="PtaChar" w:customStyle="1">
    <w:name w:val="Päta Char"/>
    <w:uiPriority w:val="99"/>
    <w:link w:val="Pta"/>
    <w:rsid w:val="002e25a5"/>
    <w:basedOn w:val="DefaultParagraphFont"/>
    <w:rPr/>
  </w:style>
  <w:style w:type="character" w:styleId="PodtitulChar" w:customStyle="1">
    <w:name w:val="Podtitul Char"/>
    <w:link w:val="Podtitul"/>
    <w:rsid w:val="002e25a5"/>
    <w:basedOn w:val="DefaultParagraphFont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Internetovodkaz">
    <w:name w:val="Internetový odkaz"/>
    <w:uiPriority w:val="99"/>
    <w:unhideWhenUsed/>
    <w:rsid w:val="002e25a5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e860b5"/>
    <w:basedOn w:val="DefaultParagraphFont"/>
    <w:rPr>
      <w:rFonts w:ascii="Segoe UI" w:hAnsi="Segoe UI" w:eastAsia="Times New Roman" w:cs="Segoe UI"/>
      <w:sz w:val="18"/>
      <w:szCs w:val="18"/>
      <w:lang w:val="sk-SK" w:eastAsia="cs-CZ"/>
    </w:rPr>
  </w:style>
  <w:style w:type="character" w:styleId="ListLabel1">
    <w:name w:val="ListLabel 1"/>
    <w:rPr>
      <w:rFonts w:cs="Courier New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Hlavika">
    <w:name w:val="Hlavička"/>
    <w:uiPriority w:val="99"/>
    <w:unhideWhenUsed/>
    <w:link w:val="HlavikaChar"/>
    <w:rsid w:val="002e25a5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ta">
    <w:name w:val="Päta"/>
    <w:uiPriority w:val="99"/>
    <w:unhideWhenUsed/>
    <w:link w:val="PtaChar"/>
    <w:rsid w:val="002e25a5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lockText">
    <w:name w:val="Block Text"/>
    <w:semiHidden/>
    <w:rsid w:val="002e25a5"/>
    <w:basedOn w:val="Normal"/>
    <w:pPr>
      <w:tabs>
        <w:tab w:val="left" w:pos="426" w:leader="none"/>
      </w:tabs>
      <w:ind w:left="426" w:right="432" w:hanging="0"/>
      <w:jc w:val="both"/>
    </w:pPr>
    <w:rPr>
      <w:rFonts w:ascii="Times New Roman" w:hAnsi="Times New Roman"/>
      <w:spacing w:val="-2"/>
      <w:sz w:val="36"/>
    </w:rPr>
  </w:style>
  <w:style w:type="paragraph" w:styleId="Podnzov">
    <w:name w:val="Podnázov"/>
    <w:qFormat/>
    <w:link w:val="PodtitulChar"/>
    <w:rsid w:val="002e25a5"/>
    <w:basedOn w:val="Normal"/>
    <w:pPr>
      <w:jc w:val="left"/>
    </w:pPr>
    <w:rPr>
      <w:rFonts w:ascii="Times New Roman" w:hAnsi="Times New Roman"/>
      <w:sz w:val="24"/>
      <w:lang w:val="x-none" w:eastAsia="x-none"/>
    </w:rPr>
  </w:style>
  <w:style w:type="paragraph" w:styleId="ListParagraph">
    <w:name w:val="List Paragraph"/>
    <w:uiPriority w:val="34"/>
    <w:qFormat/>
    <w:rsid w:val="003a6bb4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e860b5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amposlovensku.sk/xxxx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kamposlovensku.sk/xxxx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2019-04-09T10:44:00Z</dcterms:created>
  <dc:creator>Macuchova, Katarina</dc:creator>
  <cp:keywords>No Restrictions</cp:keywords>
  <dc:language>sk-SK</dc:language>
  <cp:lastModifiedBy>Janka</cp:lastModifiedBy>
  <cp:lastPrinted>2019-02-19T13:17:00Z</cp:lastPrinted>
  <dcterms:modified xsi:type="dcterms:W3CDTF">2019-04-12T06:37:00Z</dcterms:modified>
  <cp:revision>8</cp:revision>
</cp:coreProperties>
</file>